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74" w:rsidRPr="00553A75" w:rsidRDefault="00243063" w:rsidP="003A238B">
      <w:pPr>
        <w:spacing w:after="0" w:line="240" w:lineRule="auto"/>
        <w:jc w:val="center"/>
        <w:rPr>
          <w:rFonts w:ascii="Gulim" w:eastAsia="ＭＳ 明朝" w:hAnsi="Gulim" w:cs="Batang"/>
          <w:b/>
          <w:sz w:val="40"/>
          <w:szCs w:val="40"/>
        </w:rPr>
      </w:pPr>
      <w:r w:rsidRPr="00243063">
        <w:rPr>
          <w:rFonts w:ascii="ＭＳ 明朝" w:eastAsia="ＭＳ 明朝" w:hAnsi="ＭＳ 明朝" w:cs="Batang" w:hint="eastAsia"/>
          <w:b/>
          <w:sz w:val="40"/>
          <w:szCs w:val="40"/>
          <w:u w:val="single"/>
        </w:rPr>
        <w:t>東京教会</w:t>
      </w:r>
      <w:r w:rsidR="00B70D8D" w:rsidRPr="00243063">
        <w:rPr>
          <w:rFonts w:ascii="Gulim" w:eastAsia="Gulim" w:hAnsi="Gulim" w:cs="Batang" w:hint="eastAsia"/>
          <w:b/>
          <w:sz w:val="40"/>
          <w:szCs w:val="40"/>
          <w:u w:val="single"/>
          <w:lang w:eastAsia="ko-KR"/>
        </w:rPr>
        <w:t xml:space="preserve"> </w:t>
      </w:r>
      <w:r w:rsidRPr="00243063">
        <w:rPr>
          <w:rFonts w:ascii="ＭＳ 明朝" w:eastAsia="ＭＳ 明朝" w:hAnsi="ＭＳ 明朝" w:cs="Batang" w:hint="eastAsia"/>
          <w:b/>
          <w:sz w:val="40"/>
          <w:szCs w:val="40"/>
          <w:u w:val="single"/>
        </w:rPr>
        <w:t>宣教</w:t>
      </w:r>
      <w:r w:rsidR="00553A75">
        <w:rPr>
          <w:rFonts w:ascii="ＭＳ 明朝" w:eastAsia="ＭＳ 明朝" w:hAnsi="ＭＳ 明朝" w:cs="Batang" w:hint="eastAsia"/>
          <w:b/>
          <w:sz w:val="40"/>
          <w:szCs w:val="40"/>
          <w:u w:val="single"/>
        </w:rPr>
        <w:t>方針</w:t>
      </w:r>
      <w:bookmarkStart w:id="0" w:name="_GoBack"/>
      <w:bookmarkEnd w:id="0"/>
    </w:p>
    <w:p w:rsidR="00B70D8D" w:rsidRPr="001A7B74" w:rsidRDefault="00B70D8D" w:rsidP="00B70D8D">
      <w:pPr>
        <w:spacing w:after="0" w:line="240" w:lineRule="auto"/>
        <w:rPr>
          <w:rFonts w:ascii="Gulim" w:eastAsia="Gulim" w:hAnsi="Gulim" w:cs="Batang"/>
          <w:lang w:eastAsia="ko-KR"/>
        </w:rPr>
      </w:pPr>
    </w:p>
    <w:p w:rsidR="003A238B" w:rsidRPr="00243063" w:rsidRDefault="00243063" w:rsidP="00B70D8D">
      <w:pPr>
        <w:spacing w:after="0" w:line="240" w:lineRule="auto"/>
        <w:rPr>
          <w:rFonts w:ascii="ＭＳ 明朝" w:eastAsia="ＭＳ 明朝" w:hAnsi="ＭＳ 明朝" w:cs="Batang"/>
          <w:b/>
          <w:sz w:val="28"/>
          <w:szCs w:val="28"/>
        </w:rPr>
      </w:pPr>
      <w:r w:rsidRPr="00243063">
        <w:rPr>
          <w:rFonts w:ascii="ＭＳ 明朝" w:eastAsia="ＭＳ 明朝" w:hAnsi="ＭＳ 明朝" w:cs="Batang" w:hint="eastAsia"/>
          <w:b/>
          <w:sz w:val="28"/>
          <w:szCs w:val="28"/>
        </w:rPr>
        <w:t>Ⅰ．宣教支援地域の区分</w:t>
      </w:r>
    </w:p>
    <w:p w:rsidR="00243063" w:rsidRPr="00764DDD" w:rsidRDefault="00764DDD" w:rsidP="00764DDD">
      <w:pPr>
        <w:spacing w:after="0" w:line="240" w:lineRule="auto"/>
        <w:ind w:left="2168" w:hangingChars="900" w:hanging="2168"/>
        <w:rPr>
          <w:rFonts w:ascii="ＭＳ 明朝" w:eastAsia="ＭＳ 明朝" w:hAnsi="ＭＳ 明朝" w:cs="Batang"/>
          <w:sz w:val="24"/>
          <w:szCs w:val="24"/>
        </w:rPr>
      </w:pPr>
      <w:r>
        <w:rPr>
          <w:rFonts w:ascii="ＭＳ 明朝" w:eastAsia="ＭＳ 明朝" w:hAnsi="ＭＳ 明朝" w:cs="Batang" w:hint="eastAsia"/>
          <w:b/>
          <w:sz w:val="24"/>
          <w:szCs w:val="24"/>
        </w:rPr>
        <w:t>１．</w:t>
      </w:r>
      <w:r w:rsidR="00243063" w:rsidRPr="00764DDD">
        <w:rPr>
          <w:rFonts w:ascii="ＭＳ 明朝" w:eastAsia="ＭＳ 明朝" w:hAnsi="ＭＳ 明朝" w:cs="Batang" w:hint="eastAsia"/>
          <w:b/>
          <w:sz w:val="24"/>
          <w:szCs w:val="24"/>
        </w:rPr>
        <w:t>集中支援地域</w:t>
      </w:r>
      <w:r w:rsidR="00243063" w:rsidRPr="00764DDD">
        <w:rPr>
          <w:rFonts w:ascii="ＭＳ 明朝" w:eastAsia="ＭＳ 明朝" w:hAnsi="ＭＳ 明朝" w:cs="Batang" w:hint="eastAsia"/>
          <w:sz w:val="24"/>
          <w:szCs w:val="24"/>
        </w:rPr>
        <w:t>：戦略的に重要な教会または地域に集中的に支援する。例えば、東京教会が教会を開拓したり、ある地域を集中して継続的に支援する必要があるケースがこれに該当する。</w:t>
      </w:r>
    </w:p>
    <w:p w:rsidR="00243063" w:rsidRPr="00764DDD" w:rsidRDefault="00243063" w:rsidP="00243063">
      <w:pPr>
        <w:spacing w:after="0" w:line="240" w:lineRule="auto"/>
        <w:rPr>
          <w:rFonts w:ascii="ＭＳ 明朝" w:eastAsia="ＭＳ 明朝" w:hAnsi="ＭＳ 明朝" w:cs="Batang"/>
          <w:sz w:val="24"/>
          <w:szCs w:val="24"/>
        </w:rPr>
      </w:pPr>
      <w:r w:rsidRPr="00764DDD">
        <w:rPr>
          <w:rFonts w:ascii="ＭＳ 明朝" w:eastAsia="ＭＳ 明朝" w:hAnsi="ＭＳ 明朝" w:cs="Batang" w:hint="eastAsia"/>
          <w:b/>
          <w:sz w:val="24"/>
          <w:szCs w:val="24"/>
        </w:rPr>
        <w:t>２．一般支援地域</w:t>
      </w:r>
      <w:r w:rsidRPr="00764DDD">
        <w:rPr>
          <w:rFonts w:ascii="ＭＳ 明朝" w:eastAsia="ＭＳ 明朝" w:hAnsi="ＭＳ 明朝" w:cs="Batang" w:hint="eastAsia"/>
          <w:sz w:val="24"/>
          <w:szCs w:val="24"/>
        </w:rPr>
        <w:t>：宣教支援が必要な教会または地域に経済的、人的支援を行う。</w:t>
      </w:r>
    </w:p>
    <w:p w:rsidR="008D77ED" w:rsidRPr="00764DDD" w:rsidRDefault="008D77ED" w:rsidP="00B70D8D">
      <w:pPr>
        <w:spacing w:after="0" w:line="240" w:lineRule="auto"/>
        <w:rPr>
          <w:rFonts w:ascii="Gulim" w:eastAsia="ＭＳ 明朝" w:hAnsi="Gulim" w:cs="Batang"/>
          <w:sz w:val="24"/>
          <w:szCs w:val="24"/>
        </w:rPr>
      </w:pPr>
    </w:p>
    <w:p w:rsidR="003A238B" w:rsidRPr="00764DDD" w:rsidRDefault="00243063" w:rsidP="00B70D8D">
      <w:pPr>
        <w:spacing w:after="0" w:line="240" w:lineRule="auto"/>
        <w:rPr>
          <w:rFonts w:ascii="Gulim" w:eastAsia="ＭＳ 明朝" w:hAnsi="Gulim"/>
          <w:b/>
          <w:sz w:val="24"/>
          <w:szCs w:val="24"/>
        </w:rPr>
      </w:pPr>
      <w:r w:rsidRPr="00764DDD">
        <w:rPr>
          <w:rFonts w:ascii="Gulim" w:eastAsia="ＭＳ 明朝" w:hAnsi="Gulim" w:hint="eastAsia"/>
          <w:b/>
          <w:sz w:val="24"/>
          <w:szCs w:val="24"/>
        </w:rPr>
        <w:t>Ⅱ．集中支援地域（戦略的開拓）への支援原則</w:t>
      </w:r>
    </w:p>
    <w:p w:rsidR="00243063" w:rsidRPr="00764DDD" w:rsidRDefault="00243063" w:rsidP="00B70D8D">
      <w:pPr>
        <w:spacing w:after="0" w:line="240" w:lineRule="auto"/>
        <w:rPr>
          <w:rFonts w:ascii="Gulim" w:eastAsia="ＭＳ 明朝" w:hAnsi="Gulim"/>
          <w:b/>
          <w:sz w:val="24"/>
          <w:szCs w:val="24"/>
        </w:rPr>
      </w:pPr>
      <w:r w:rsidRPr="00764DDD">
        <w:rPr>
          <w:rFonts w:ascii="Gulim" w:eastAsia="ＭＳ 明朝" w:hAnsi="Gulim" w:hint="eastAsia"/>
          <w:b/>
          <w:sz w:val="24"/>
          <w:szCs w:val="24"/>
        </w:rPr>
        <w:t>１．東京教会が教会を開拓する場合</w:t>
      </w:r>
    </w:p>
    <w:p w:rsidR="00243063" w:rsidRPr="00764DDD" w:rsidRDefault="00243063" w:rsidP="00B70D8D">
      <w:pPr>
        <w:spacing w:after="0" w:line="240" w:lineRule="auto"/>
        <w:rPr>
          <w:rFonts w:ascii="Gulim" w:eastAsia="ＭＳ 明朝" w:hAnsi="Gulim"/>
          <w:sz w:val="24"/>
          <w:szCs w:val="24"/>
        </w:rPr>
      </w:pPr>
      <w:r w:rsidRPr="00764DDD">
        <w:rPr>
          <w:rFonts w:ascii="Gulim" w:eastAsia="ＭＳ 明朝" w:hAnsi="Gulim" w:hint="eastAsia"/>
          <w:sz w:val="24"/>
          <w:szCs w:val="24"/>
        </w:rPr>
        <w:t xml:space="preserve">　①特定地域になぜ教会を建てるべきか明確な趣旨（目的）がなくてはならない。</w:t>
      </w:r>
    </w:p>
    <w:p w:rsidR="00243063" w:rsidRPr="00764DDD" w:rsidRDefault="00243063" w:rsidP="00764DDD">
      <w:pPr>
        <w:spacing w:after="0" w:line="240" w:lineRule="auto"/>
        <w:ind w:left="480" w:hangingChars="200" w:hanging="480"/>
        <w:rPr>
          <w:rFonts w:ascii="Gulim" w:eastAsia="ＭＳ 明朝" w:hAnsi="Gulim"/>
          <w:sz w:val="24"/>
          <w:szCs w:val="24"/>
        </w:rPr>
      </w:pPr>
      <w:r w:rsidRPr="00764DDD">
        <w:rPr>
          <w:rFonts w:ascii="Gulim" w:eastAsia="ＭＳ 明朝" w:hAnsi="Gulim" w:hint="eastAsia"/>
          <w:sz w:val="24"/>
          <w:szCs w:val="24"/>
        </w:rPr>
        <w:t xml:space="preserve">　②開拓教会の</w:t>
      </w:r>
      <w:r w:rsidR="003B5C41" w:rsidRPr="00764DDD">
        <w:rPr>
          <w:rFonts w:ascii="Gulim" w:eastAsia="ＭＳ 明朝" w:hAnsi="Gulim" w:hint="eastAsia"/>
          <w:sz w:val="24"/>
          <w:szCs w:val="24"/>
        </w:rPr>
        <w:t>教役者がいなければならない。この場合、東京教会で数年間務めた教役者の中から信徒の皆さんの信頼が得られる教役者に対して堂会（責任役員会）が決定する。</w:t>
      </w:r>
    </w:p>
    <w:p w:rsidR="003B5C41" w:rsidRPr="00764DDD" w:rsidRDefault="003B5C41" w:rsidP="00764DDD">
      <w:pPr>
        <w:spacing w:after="0" w:line="240" w:lineRule="auto"/>
        <w:ind w:left="480" w:hangingChars="200" w:hanging="480"/>
        <w:rPr>
          <w:rFonts w:ascii="Gulim" w:eastAsia="ＭＳ 明朝" w:hAnsi="Gulim"/>
          <w:sz w:val="24"/>
          <w:szCs w:val="24"/>
        </w:rPr>
      </w:pPr>
      <w:r w:rsidRPr="00764DDD">
        <w:rPr>
          <w:rFonts w:ascii="Gulim" w:eastAsia="ＭＳ 明朝" w:hAnsi="Gulim" w:hint="eastAsia"/>
          <w:sz w:val="24"/>
          <w:szCs w:val="24"/>
        </w:rPr>
        <w:t xml:space="preserve">　③教会開拓チームを設立する。</w:t>
      </w:r>
    </w:p>
    <w:p w:rsidR="003B5C41" w:rsidRPr="00764DDD" w:rsidRDefault="003B5C41" w:rsidP="00764DDD">
      <w:pPr>
        <w:spacing w:after="0" w:line="240" w:lineRule="auto"/>
        <w:ind w:left="480" w:hangingChars="200" w:hanging="480"/>
        <w:rPr>
          <w:rFonts w:ascii="Gulim" w:eastAsia="ＭＳ 明朝" w:hAnsi="Gulim"/>
          <w:sz w:val="24"/>
          <w:szCs w:val="24"/>
        </w:rPr>
      </w:pPr>
      <w:r w:rsidRPr="00764DDD">
        <w:rPr>
          <w:rFonts w:ascii="Gulim" w:eastAsia="ＭＳ 明朝" w:hAnsi="Gulim" w:hint="eastAsia"/>
          <w:sz w:val="24"/>
          <w:szCs w:val="24"/>
        </w:rPr>
        <w:t xml:space="preserve">　④教会開拓に関する詳細は堂会（責任役員会）と宣教委員会、教会開拓チームが緊密に連携して進める。</w:t>
      </w:r>
    </w:p>
    <w:p w:rsidR="003B5C41" w:rsidRPr="00764DDD" w:rsidRDefault="003B5C41" w:rsidP="00764DDD">
      <w:pPr>
        <w:spacing w:after="0" w:line="240" w:lineRule="auto"/>
        <w:ind w:left="480" w:hangingChars="200" w:hanging="480"/>
        <w:rPr>
          <w:rFonts w:ascii="Gulim" w:eastAsia="ＭＳ 明朝" w:hAnsi="Gulim"/>
          <w:sz w:val="24"/>
          <w:szCs w:val="24"/>
        </w:rPr>
      </w:pPr>
      <w:r w:rsidRPr="00764DDD">
        <w:rPr>
          <w:rFonts w:ascii="Gulim" w:eastAsia="ＭＳ 明朝" w:hAnsi="Gulim" w:hint="eastAsia"/>
          <w:sz w:val="24"/>
          <w:szCs w:val="24"/>
        </w:rPr>
        <w:t xml:space="preserve">　⑤教会開拓のために毎年資金を集めながら人的資源の準備も進める。</w:t>
      </w:r>
    </w:p>
    <w:p w:rsidR="00243063" w:rsidRPr="00764DDD" w:rsidRDefault="00243063" w:rsidP="00B70D8D">
      <w:pPr>
        <w:spacing w:after="0" w:line="240" w:lineRule="auto"/>
        <w:rPr>
          <w:rFonts w:ascii="Gulim" w:eastAsia="ＭＳ 明朝" w:hAnsi="Gulim"/>
          <w:sz w:val="24"/>
          <w:szCs w:val="24"/>
        </w:rPr>
      </w:pPr>
    </w:p>
    <w:p w:rsidR="003B5C41" w:rsidRPr="00764DDD" w:rsidRDefault="00764DDD" w:rsidP="00764DDD">
      <w:pPr>
        <w:spacing w:after="0" w:line="240" w:lineRule="auto"/>
        <w:rPr>
          <w:rFonts w:ascii="Gulim" w:eastAsia="ＭＳ 明朝" w:hAnsi="Gulim"/>
          <w:b/>
          <w:sz w:val="24"/>
          <w:szCs w:val="24"/>
        </w:rPr>
      </w:pPr>
      <w:r>
        <w:rPr>
          <w:rFonts w:ascii="Gulim" w:eastAsia="ＭＳ 明朝" w:hAnsi="Gulim" w:cs="ＭＳ ゴシック" w:hint="eastAsia"/>
          <w:b/>
          <w:sz w:val="24"/>
          <w:szCs w:val="24"/>
        </w:rPr>
        <w:t>２．</w:t>
      </w:r>
      <w:r w:rsidR="003B5C41" w:rsidRPr="00764DDD">
        <w:rPr>
          <w:rFonts w:ascii="Gulim" w:eastAsia="ＭＳ 明朝" w:hAnsi="Gulim" w:cs="ＭＳ ゴシック" w:hint="eastAsia"/>
          <w:b/>
          <w:sz w:val="24"/>
          <w:szCs w:val="24"/>
        </w:rPr>
        <w:t>既存</w:t>
      </w:r>
      <w:r w:rsidR="003B5C41" w:rsidRPr="00764DDD">
        <w:rPr>
          <w:rFonts w:ascii="Gulim" w:eastAsia="ＭＳ 明朝" w:hAnsi="Gulim" w:hint="eastAsia"/>
          <w:b/>
          <w:sz w:val="24"/>
          <w:szCs w:val="24"/>
        </w:rPr>
        <w:t>の教会または教役者に集中支援する場合</w:t>
      </w:r>
    </w:p>
    <w:p w:rsidR="003B5C41" w:rsidRPr="00764DDD" w:rsidRDefault="003B5C41" w:rsidP="003B5C41">
      <w:pPr>
        <w:pStyle w:val="a3"/>
        <w:numPr>
          <w:ilvl w:val="0"/>
          <w:numId w:val="14"/>
        </w:numPr>
        <w:spacing w:after="0" w:line="240" w:lineRule="auto"/>
        <w:rPr>
          <w:rFonts w:ascii="Gulim" w:eastAsia="ＭＳ 明朝" w:hAnsi="Gulim"/>
          <w:sz w:val="24"/>
          <w:szCs w:val="24"/>
        </w:rPr>
      </w:pPr>
      <w:r w:rsidRPr="00764DDD">
        <w:rPr>
          <w:rFonts w:ascii="Gulim" w:eastAsia="ＭＳ 明朝" w:hAnsi="Gulim" w:hint="eastAsia"/>
          <w:sz w:val="24"/>
          <w:szCs w:val="24"/>
        </w:rPr>
        <w:t>集中支援すべき必要性、宣教の可能性を検討する。</w:t>
      </w:r>
    </w:p>
    <w:p w:rsidR="003A238B" w:rsidRPr="00764DDD" w:rsidRDefault="003B5C41" w:rsidP="003B5C41">
      <w:pPr>
        <w:pStyle w:val="a3"/>
        <w:numPr>
          <w:ilvl w:val="0"/>
          <w:numId w:val="14"/>
        </w:numPr>
        <w:spacing w:after="0" w:line="240" w:lineRule="auto"/>
        <w:rPr>
          <w:rFonts w:ascii="Gulim" w:eastAsia="ＭＳ 明朝" w:hAnsi="Gulim"/>
          <w:sz w:val="24"/>
          <w:szCs w:val="24"/>
        </w:rPr>
      </w:pPr>
      <w:r w:rsidRPr="00764DDD">
        <w:rPr>
          <w:rFonts w:ascii="Gulim" w:eastAsia="ＭＳ 明朝" w:hAnsi="Gulim" w:hint="eastAsia"/>
          <w:sz w:val="24"/>
          <w:szCs w:val="24"/>
        </w:rPr>
        <w:t>支援対象の方の訓練が必要である。</w:t>
      </w:r>
    </w:p>
    <w:p w:rsidR="003B5C41" w:rsidRPr="00764DDD" w:rsidRDefault="003B5C41" w:rsidP="003B5C41">
      <w:pPr>
        <w:pStyle w:val="a3"/>
        <w:numPr>
          <w:ilvl w:val="0"/>
          <w:numId w:val="14"/>
        </w:numPr>
        <w:spacing w:after="0" w:line="240" w:lineRule="auto"/>
        <w:rPr>
          <w:rFonts w:ascii="Gulim" w:eastAsia="ＭＳ 明朝" w:hAnsi="Gulim"/>
          <w:sz w:val="24"/>
          <w:szCs w:val="24"/>
        </w:rPr>
      </w:pPr>
      <w:r w:rsidRPr="00764DDD">
        <w:rPr>
          <w:rFonts w:ascii="Gulim" w:eastAsia="ＭＳ 明朝" w:hAnsi="Gulim" w:hint="eastAsia"/>
          <w:sz w:val="24"/>
          <w:szCs w:val="24"/>
        </w:rPr>
        <w:t>東京教会との緊密な関係構築が必要である。</w:t>
      </w:r>
    </w:p>
    <w:p w:rsidR="008D77ED" w:rsidRPr="00764DDD" w:rsidRDefault="008D77ED" w:rsidP="003B5C41">
      <w:pPr>
        <w:spacing w:after="0" w:line="240" w:lineRule="auto"/>
        <w:rPr>
          <w:rFonts w:ascii="Gulim" w:eastAsia="ＭＳ 明朝" w:hAnsi="Gulim"/>
          <w:sz w:val="24"/>
          <w:szCs w:val="24"/>
        </w:rPr>
      </w:pPr>
    </w:p>
    <w:p w:rsidR="008D77ED" w:rsidRPr="00764DDD" w:rsidRDefault="008D77ED" w:rsidP="003B5C41">
      <w:pPr>
        <w:spacing w:after="0" w:line="240" w:lineRule="auto"/>
        <w:rPr>
          <w:rFonts w:ascii="Gulim" w:eastAsia="ＭＳ 明朝" w:hAnsi="Gulim"/>
          <w:b/>
          <w:sz w:val="24"/>
          <w:szCs w:val="24"/>
        </w:rPr>
      </w:pPr>
      <w:r w:rsidRPr="00764DDD">
        <w:rPr>
          <w:rFonts w:ascii="Gulim" w:eastAsia="ＭＳ 明朝" w:hAnsi="Gulim" w:hint="eastAsia"/>
          <w:b/>
          <w:sz w:val="24"/>
          <w:szCs w:val="24"/>
        </w:rPr>
        <w:t>Ⅲ．一般支援地域への支援原則</w:t>
      </w:r>
    </w:p>
    <w:p w:rsidR="008D77ED" w:rsidRPr="00764DDD" w:rsidRDefault="008D77ED" w:rsidP="003B5C41">
      <w:pPr>
        <w:spacing w:after="0" w:line="240" w:lineRule="auto"/>
        <w:rPr>
          <w:rFonts w:ascii="Gulim" w:eastAsia="ＭＳ 明朝" w:hAnsi="Gulim"/>
          <w:b/>
          <w:sz w:val="24"/>
          <w:szCs w:val="24"/>
        </w:rPr>
      </w:pPr>
      <w:r w:rsidRPr="00764DDD">
        <w:rPr>
          <w:rFonts w:ascii="Gulim" w:eastAsia="ＭＳ 明朝" w:hAnsi="Gulim" w:hint="eastAsia"/>
          <w:b/>
          <w:sz w:val="24"/>
          <w:szCs w:val="24"/>
        </w:rPr>
        <w:t>１．緊急性</w:t>
      </w:r>
    </w:p>
    <w:p w:rsidR="00B70D8D" w:rsidRPr="00764DDD" w:rsidRDefault="00764DDD" w:rsidP="00764DDD">
      <w:pPr>
        <w:spacing w:after="0" w:line="240" w:lineRule="auto"/>
        <w:rPr>
          <w:rFonts w:ascii="Gulim" w:eastAsia="ＭＳ 明朝" w:hAnsi="Gulim"/>
          <w:sz w:val="24"/>
          <w:szCs w:val="24"/>
        </w:rPr>
      </w:pPr>
      <w:r w:rsidRPr="00764DDD">
        <w:rPr>
          <w:rFonts w:ascii="Gulim" w:eastAsia="ＭＳ 明朝" w:hAnsi="Gulim" w:hint="eastAsia"/>
          <w:sz w:val="24"/>
          <w:szCs w:val="24"/>
        </w:rPr>
        <w:t xml:space="preserve">　①教会（宣教団体）が困っているのか、それとも教役者（宣教師）が困っているのか。</w:t>
      </w:r>
    </w:p>
    <w:p w:rsidR="00764DDD" w:rsidRPr="00764DDD" w:rsidRDefault="00764DDD" w:rsidP="00764DDD">
      <w:pPr>
        <w:spacing w:after="0" w:line="240" w:lineRule="auto"/>
        <w:rPr>
          <w:rFonts w:ascii="Gulim" w:eastAsia="ＭＳ 明朝" w:hAnsi="Gulim"/>
          <w:sz w:val="24"/>
          <w:szCs w:val="24"/>
        </w:rPr>
      </w:pPr>
      <w:r w:rsidRPr="00764DDD">
        <w:rPr>
          <w:rFonts w:ascii="Gulim" w:eastAsia="ＭＳ 明朝" w:hAnsi="Gulim" w:hint="eastAsia"/>
          <w:sz w:val="24"/>
          <w:szCs w:val="24"/>
        </w:rPr>
        <w:t xml:space="preserve">　②困っている状況をどのように証明できるのか。</w:t>
      </w:r>
    </w:p>
    <w:p w:rsidR="00764DDD" w:rsidRPr="00764DDD" w:rsidRDefault="00764DDD" w:rsidP="00764DDD">
      <w:pPr>
        <w:spacing w:after="0" w:line="240" w:lineRule="auto"/>
        <w:rPr>
          <w:rFonts w:ascii="Gulim" w:eastAsia="ＭＳ 明朝" w:hAnsi="Gulim"/>
          <w:sz w:val="24"/>
          <w:szCs w:val="24"/>
        </w:rPr>
      </w:pPr>
    </w:p>
    <w:p w:rsidR="00764DDD" w:rsidRPr="00764DDD" w:rsidRDefault="00764DDD" w:rsidP="00764DDD">
      <w:pPr>
        <w:spacing w:after="0" w:line="240" w:lineRule="auto"/>
        <w:rPr>
          <w:rFonts w:ascii="Gulim" w:eastAsia="ＭＳ 明朝" w:hAnsi="Gulim"/>
          <w:b/>
          <w:sz w:val="24"/>
          <w:szCs w:val="24"/>
        </w:rPr>
      </w:pPr>
      <w:r w:rsidRPr="00764DDD">
        <w:rPr>
          <w:rFonts w:ascii="Gulim" w:eastAsia="ＭＳ 明朝" w:hAnsi="Gulim" w:hint="eastAsia"/>
          <w:b/>
          <w:sz w:val="24"/>
          <w:szCs w:val="24"/>
        </w:rPr>
        <w:t>２．可能性</w:t>
      </w:r>
    </w:p>
    <w:p w:rsidR="00764DDD" w:rsidRPr="00764DDD" w:rsidRDefault="00764DDD" w:rsidP="00764DDD">
      <w:pPr>
        <w:spacing w:after="0" w:line="240" w:lineRule="auto"/>
        <w:ind w:firstLineChars="100" w:firstLine="240"/>
        <w:rPr>
          <w:rFonts w:ascii="Gulim" w:eastAsia="ＭＳ 明朝" w:hAnsi="Gulim"/>
          <w:sz w:val="24"/>
          <w:szCs w:val="24"/>
        </w:rPr>
      </w:pPr>
      <w:r w:rsidRPr="00764DDD">
        <w:rPr>
          <w:rFonts w:ascii="Gulim" w:eastAsia="ＭＳ 明朝" w:hAnsi="Gulim" w:cs="ＭＳ ゴシック" w:hint="eastAsia"/>
          <w:sz w:val="24"/>
          <w:szCs w:val="24"/>
        </w:rPr>
        <w:t>①支援</w:t>
      </w:r>
      <w:r w:rsidRPr="00764DDD">
        <w:rPr>
          <w:rFonts w:ascii="Gulim" w:eastAsia="ＭＳ 明朝" w:hAnsi="Gulim" w:hint="eastAsia"/>
          <w:sz w:val="24"/>
          <w:szCs w:val="24"/>
        </w:rPr>
        <w:t>をすれば実際宣教ができるのか。</w:t>
      </w:r>
    </w:p>
    <w:p w:rsidR="00764DDD" w:rsidRPr="00764DDD" w:rsidRDefault="00764DDD" w:rsidP="00764DDD">
      <w:pPr>
        <w:pStyle w:val="a3"/>
        <w:numPr>
          <w:ilvl w:val="0"/>
          <w:numId w:val="16"/>
        </w:numPr>
        <w:spacing w:after="0" w:line="240" w:lineRule="auto"/>
        <w:rPr>
          <w:rFonts w:ascii="Gulim" w:eastAsia="ＭＳ 明朝" w:hAnsi="Gulim"/>
          <w:sz w:val="24"/>
          <w:szCs w:val="24"/>
        </w:rPr>
      </w:pPr>
      <w:r w:rsidRPr="00764DDD">
        <w:rPr>
          <w:rFonts w:ascii="Gulim" w:eastAsia="ＭＳ 明朝" w:hAnsi="Gulim" w:hint="eastAsia"/>
          <w:sz w:val="24"/>
          <w:szCs w:val="24"/>
        </w:rPr>
        <w:t>それをどのように把握できるのか。</w:t>
      </w:r>
    </w:p>
    <w:p w:rsidR="00764DDD" w:rsidRPr="00764DDD" w:rsidRDefault="00764DDD" w:rsidP="00764DDD">
      <w:pPr>
        <w:spacing w:after="0" w:line="240" w:lineRule="auto"/>
        <w:ind w:firstLineChars="100" w:firstLine="240"/>
        <w:rPr>
          <w:rFonts w:ascii="Gulim" w:eastAsia="ＭＳ 明朝" w:hAnsi="Gulim"/>
          <w:sz w:val="24"/>
          <w:szCs w:val="24"/>
        </w:rPr>
      </w:pPr>
      <w:r w:rsidRPr="00764DDD">
        <w:rPr>
          <w:rFonts w:ascii="Gulim" w:eastAsia="ＭＳ 明朝" w:hAnsi="Gulim" w:cs="ＭＳ ゴシック" w:hint="eastAsia"/>
          <w:sz w:val="24"/>
          <w:szCs w:val="24"/>
        </w:rPr>
        <w:t>③生活</w:t>
      </w:r>
      <w:r w:rsidRPr="00764DDD">
        <w:rPr>
          <w:rFonts w:ascii="Gulim" w:eastAsia="ＭＳ 明朝" w:hAnsi="Gulim" w:hint="eastAsia"/>
          <w:sz w:val="24"/>
          <w:szCs w:val="24"/>
        </w:rPr>
        <w:t>に困っている場合は、宣教費ではなく救済費で支出するのが好ましい。</w:t>
      </w:r>
    </w:p>
    <w:p w:rsidR="00B70D8D" w:rsidRPr="00764DDD" w:rsidRDefault="00B70D8D" w:rsidP="00B70D8D">
      <w:pPr>
        <w:spacing w:after="0" w:line="240" w:lineRule="auto"/>
        <w:rPr>
          <w:rFonts w:ascii="Gulim" w:eastAsia="ＭＳ 明朝" w:hAnsi="Gulim"/>
          <w:sz w:val="24"/>
          <w:szCs w:val="24"/>
        </w:rPr>
      </w:pPr>
    </w:p>
    <w:p w:rsidR="00764DDD" w:rsidRPr="00764DDD" w:rsidRDefault="00764DDD" w:rsidP="00764DDD">
      <w:pPr>
        <w:spacing w:after="0" w:line="240" w:lineRule="auto"/>
        <w:rPr>
          <w:rFonts w:ascii="Gulim" w:eastAsia="ＭＳ 明朝" w:hAnsi="Gulim"/>
          <w:b/>
          <w:sz w:val="24"/>
          <w:szCs w:val="24"/>
        </w:rPr>
      </w:pPr>
      <w:r w:rsidRPr="00764DDD">
        <w:rPr>
          <w:rFonts w:ascii="Gulim" w:eastAsia="ＭＳ 明朝" w:hAnsi="Gulim" w:hint="eastAsia"/>
          <w:b/>
          <w:sz w:val="24"/>
          <w:szCs w:val="24"/>
        </w:rPr>
        <w:t>３．</w:t>
      </w:r>
      <w:r>
        <w:rPr>
          <w:rFonts w:ascii="Gulim" w:eastAsia="ＭＳ 明朝" w:hAnsi="Gulim" w:hint="eastAsia"/>
          <w:b/>
          <w:sz w:val="24"/>
          <w:szCs w:val="24"/>
        </w:rPr>
        <w:t>信頼性</w:t>
      </w:r>
    </w:p>
    <w:p w:rsidR="00764DDD" w:rsidRPr="00764DDD" w:rsidRDefault="00764DDD" w:rsidP="00764DDD">
      <w:pPr>
        <w:spacing w:after="0" w:line="240" w:lineRule="auto"/>
        <w:ind w:firstLineChars="100" w:firstLine="240"/>
        <w:rPr>
          <w:rFonts w:ascii="Gulim" w:eastAsia="ＭＳ 明朝" w:hAnsi="Gulim"/>
          <w:sz w:val="24"/>
          <w:szCs w:val="24"/>
        </w:rPr>
      </w:pPr>
      <w:r w:rsidRPr="00764DDD">
        <w:rPr>
          <w:rFonts w:ascii="Gulim" w:eastAsia="ＭＳ 明朝" w:hAnsi="Gulim" w:hint="eastAsia"/>
          <w:sz w:val="24"/>
          <w:szCs w:val="24"/>
        </w:rPr>
        <w:t>①</w:t>
      </w:r>
      <w:r>
        <w:rPr>
          <w:rFonts w:ascii="Gulim" w:eastAsia="ＭＳ 明朝" w:hAnsi="Gulim" w:hint="eastAsia"/>
          <w:sz w:val="24"/>
          <w:szCs w:val="24"/>
        </w:rPr>
        <w:t>その教役者および教会（団体）は信頼できるのか。</w:t>
      </w:r>
    </w:p>
    <w:p w:rsidR="00764DDD" w:rsidRDefault="00764DDD" w:rsidP="00764DDD">
      <w:pPr>
        <w:spacing w:after="0" w:line="240" w:lineRule="auto"/>
        <w:ind w:firstLineChars="100" w:firstLine="240"/>
        <w:rPr>
          <w:rFonts w:ascii="Gulim" w:eastAsia="ＭＳ 明朝" w:hAnsi="Gulim"/>
          <w:sz w:val="24"/>
          <w:szCs w:val="24"/>
        </w:rPr>
      </w:pPr>
      <w:r>
        <w:rPr>
          <w:rFonts w:ascii="Gulim" w:eastAsia="ＭＳ 明朝" w:hAnsi="Gulim" w:hint="eastAsia"/>
          <w:sz w:val="24"/>
          <w:szCs w:val="24"/>
        </w:rPr>
        <w:t>②それをどのように把握できるのか。</w:t>
      </w:r>
    </w:p>
    <w:p w:rsidR="00764DDD" w:rsidRDefault="00764DDD" w:rsidP="00764DDD">
      <w:pPr>
        <w:spacing w:after="0" w:line="240" w:lineRule="auto"/>
        <w:ind w:firstLineChars="100" w:firstLine="240"/>
        <w:rPr>
          <w:rFonts w:ascii="Gulim" w:eastAsia="ＭＳ 明朝" w:hAnsi="Gulim"/>
          <w:sz w:val="24"/>
          <w:szCs w:val="24"/>
        </w:rPr>
      </w:pPr>
    </w:p>
    <w:p w:rsidR="00764DDD" w:rsidRPr="00764DDD" w:rsidRDefault="00764DDD" w:rsidP="00764DDD">
      <w:pPr>
        <w:spacing w:after="0" w:line="240" w:lineRule="auto"/>
        <w:rPr>
          <w:rFonts w:ascii="Gulim" w:eastAsia="ＭＳ 明朝" w:hAnsi="Gulim"/>
          <w:b/>
          <w:sz w:val="24"/>
          <w:szCs w:val="24"/>
        </w:rPr>
      </w:pPr>
      <w:r w:rsidRPr="00764DDD">
        <w:rPr>
          <w:rFonts w:ascii="Gulim" w:eastAsia="ＭＳ 明朝" w:hAnsi="Gulim" w:hint="eastAsia"/>
          <w:b/>
          <w:sz w:val="24"/>
          <w:szCs w:val="24"/>
        </w:rPr>
        <w:t>４．関係性</w:t>
      </w:r>
    </w:p>
    <w:p w:rsidR="00764DDD" w:rsidRDefault="00764DDD" w:rsidP="00764DDD">
      <w:pPr>
        <w:spacing w:after="0" w:line="240" w:lineRule="auto"/>
        <w:rPr>
          <w:rFonts w:ascii="Gulim" w:eastAsia="ＭＳ 明朝" w:hAnsi="Gulim"/>
          <w:sz w:val="24"/>
          <w:szCs w:val="24"/>
        </w:rPr>
      </w:pPr>
      <w:r>
        <w:rPr>
          <w:rFonts w:ascii="Gulim" w:eastAsia="ＭＳ 明朝" w:hAnsi="Gulim" w:hint="eastAsia"/>
          <w:sz w:val="24"/>
          <w:szCs w:val="24"/>
        </w:rPr>
        <w:t xml:space="preserve">　①東京教会と宣教のパートナー（同役者）になれるのか。</w:t>
      </w:r>
    </w:p>
    <w:p w:rsidR="00764DDD" w:rsidRDefault="00764DDD" w:rsidP="00764DDD">
      <w:pPr>
        <w:spacing w:after="0" w:line="240" w:lineRule="auto"/>
        <w:rPr>
          <w:rFonts w:ascii="Gulim" w:eastAsia="ＭＳ 明朝" w:hAnsi="Gulim"/>
          <w:sz w:val="24"/>
          <w:szCs w:val="24"/>
        </w:rPr>
      </w:pPr>
      <w:r>
        <w:rPr>
          <w:rFonts w:ascii="Gulim" w:eastAsia="ＭＳ 明朝" w:hAnsi="Gulim" w:hint="eastAsia"/>
          <w:sz w:val="24"/>
          <w:szCs w:val="24"/>
        </w:rPr>
        <w:lastRenderedPageBreak/>
        <w:t xml:space="preserve">　②宣教支援を受ける当事者は東京教会に宣教報告を定期的に行う必要がある。</w:t>
      </w:r>
    </w:p>
    <w:p w:rsidR="00764DDD" w:rsidRDefault="00764DDD" w:rsidP="00764DDD">
      <w:pPr>
        <w:spacing w:after="0" w:line="240" w:lineRule="auto"/>
        <w:ind w:firstLineChars="100" w:firstLine="240"/>
        <w:rPr>
          <w:rFonts w:ascii="Gulim" w:eastAsia="ＭＳ 明朝" w:hAnsi="Gulim"/>
          <w:sz w:val="24"/>
          <w:szCs w:val="24"/>
        </w:rPr>
      </w:pPr>
    </w:p>
    <w:p w:rsidR="00137584" w:rsidRPr="00626AF9" w:rsidRDefault="00626AF9" w:rsidP="00B70D8D">
      <w:pPr>
        <w:spacing w:after="0" w:line="240" w:lineRule="auto"/>
        <w:rPr>
          <w:rFonts w:ascii="Gulim" w:eastAsia="Gulim" w:hAnsi="Gulim"/>
          <w:b/>
          <w:sz w:val="28"/>
          <w:szCs w:val="28"/>
        </w:rPr>
      </w:pPr>
      <w:r w:rsidRPr="00626AF9">
        <w:rPr>
          <w:rFonts w:ascii="ＭＳ 明朝" w:eastAsia="ＭＳ 明朝" w:hAnsi="ＭＳ 明朝" w:hint="eastAsia"/>
          <w:b/>
          <w:sz w:val="28"/>
          <w:szCs w:val="28"/>
        </w:rPr>
        <w:t>Ⅳ．宣教支援期間</w:t>
      </w:r>
    </w:p>
    <w:p w:rsidR="001A7B74" w:rsidRPr="00764DDD" w:rsidRDefault="00626AF9" w:rsidP="00B70D8D">
      <w:pPr>
        <w:spacing w:after="0" w:line="240" w:lineRule="auto"/>
        <w:rPr>
          <w:rFonts w:ascii="Gulim" w:eastAsia="Gulim" w:hAnsi="Gulim"/>
          <w:sz w:val="24"/>
          <w:szCs w:val="24"/>
        </w:rPr>
      </w:pPr>
      <w:r>
        <w:rPr>
          <w:rFonts w:ascii="ＭＳ 明朝" w:eastAsia="ＭＳ 明朝" w:hAnsi="ＭＳ 明朝" w:hint="eastAsia"/>
          <w:sz w:val="24"/>
          <w:szCs w:val="24"/>
        </w:rPr>
        <w:t>１．三年間を基本とする。原則として三年が過ぎれば宣教支援は打ち切る。</w:t>
      </w:r>
    </w:p>
    <w:p w:rsidR="001A7B74" w:rsidRDefault="00626AF9" w:rsidP="00B70D8D">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２．必要な場合、再検討はできる。</w:t>
      </w:r>
    </w:p>
    <w:p w:rsidR="00626AF9" w:rsidRPr="00764DDD" w:rsidRDefault="00626AF9" w:rsidP="00B70D8D">
      <w:pPr>
        <w:spacing w:after="0" w:line="240" w:lineRule="auto"/>
        <w:rPr>
          <w:rFonts w:ascii="Gulim" w:eastAsia="Gulim" w:hAnsi="Gulim"/>
          <w:sz w:val="24"/>
          <w:szCs w:val="24"/>
        </w:rPr>
      </w:pPr>
      <w:r>
        <w:rPr>
          <w:rFonts w:ascii="ＭＳ 明朝" w:eastAsia="ＭＳ 明朝" w:hAnsi="ＭＳ 明朝" w:hint="eastAsia"/>
          <w:sz w:val="24"/>
          <w:szCs w:val="24"/>
        </w:rPr>
        <w:t>３．但し、集中宣教支援地域と海外は宣教支援期間を別途定める。</w:t>
      </w:r>
    </w:p>
    <w:p w:rsidR="001A7B74" w:rsidRDefault="001A7B74" w:rsidP="00B70D8D">
      <w:pPr>
        <w:spacing w:after="0" w:line="240" w:lineRule="auto"/>
        <w:rPr>
          <w:rFonts w:ascii="Gulim" w:eastAsia="ＭＳ 明朝" w:hAnsi="Gulim"/>
          <w:sz w:val="24"/>
          <w:szCs w:val="24"/>
        </w:rPr>
      </w:pPr>
    </w:p>
    <w:p w:rsidR="00626AF9" w:rsidRPr="00626AF9" w:rsidRDefault="00626AF9" w:rsidP="00B70D8D">
      <w:pPr>
        <w:spacing w:after="0" w:line="240" w:lineRule="auto"/>
        <w:rPr>
          <w:rFonts w:ascii="Gulim" w:eastAsia="ＭＳ 明朝" w:hAnsi="Gulim"/>
          <w:b/>
          <w:sz w:val="28"/>
          <w:szCs w:val="28"/>
        </w:rPr>
      </w:pPr>
      <w:r w:rsidRPr="00626AF9">
        <w:rPr>
          <w:rFonts w:ascii="Gulim" w:eastAsia="ＭＳ 明朝" w:hAnsi="Gulim" w:hint="eastAsia"/>
          <w:b/>
          <w:sz w:val="28"/>
          <w:szCs w:val="28"/>
        </w:rPr>
        <w:t>Ⅴ．宣教支援金額</w:t>
      </w:r>
    </w:p>
    <w:p w:rsidR="00626AF9" w:rsidRDefault="00626AF9" w:rsidP="00B70D8D">
      <w:pPr>
        <w:spacing w:after="0" w:line="240" w:lineRule="auto"/>
        <w:rPr>
          <w:rFonts w:ascii="Gulim" w:eastAsia="ＭＳ 明朝" w:hAnsi="Gulim"/>
          <w:sz w:val="24"/>
          <w:szCs w:val="24"/>
        </w:rPr>
      </w:pPr>
      <w:r>
        <w:rPr>
          <w:rFonts w:ascii="Gulim" w:eastAsia="ＭＳ 明朝" w:hAnsi="Gulim" w:hint="eastAsia"/>
          <w:sz w:val="24"/>
          <w:szCs w:val="24"/>
        </w:rPr>
        <w:t>１．月</w:t>
      </w:r>
      <w:r>
        <w:rPr>
          <w:rFonts w:ascii="Gulim" w:eastAsia="ＭＳ 明朝" w:hAnsi="Gulim" w:hint="eastAsia"/>
          <w:sz w:val="24"/>
          <w:szCs w:val="24"/>
        </w:rPr>
        <w:t>3</w:t>
      </w:r>
      <w:r>
        <w:rPr>
          <w:rFonts w:ascii="Gulim" w:eastAsia="ＭＳ 明朝" w:hAnsi="Gulim" w:hint="eastAsia"/>
          <w:sz w:val="24"/>
          <w:szCs w:val="24"/>
        </w:rPr>
        <w:t>万円～</w:t>
      </w:r>
      <w:r>
        <w:rPr>
          <w:rFonts w:ascii="Gulim" w:eastAsia="ＭＳ 明朝" w:hAnsi="Gulim" w:hint="eastAsia"/>
          <w:sz w:val="24"/>
          <w:szCs w:val="24"/>
        </w:rPr>
        <w:t>5</w:t>
      </w:r>
      <w:r>
        <w:rPr>
          <w:rFonts w:ascii="Gulim" w:eastAsia="ＭＳ 明朝" w:hAnsi="Gulim" w:hint="eastAsia"/>
          <w:sz w:val="24"/>
          <w:szCs w:val="24"/>
        </w:rPr>
        <w:t>万円とする。</w:t>
      </w:r>
    </w:p>
    <w:p w:rsidR="00626AF9" w:rsidRDefault="00626AF9" w:rsidP="00B70D8D">
      <w:pPr>
        <w:spacing w:after="0" w:line="240" w:lineRule="auto"/>
        <w:rPr>
          <w:rFonts w:ascii="Gulim" w:eastAsia="ＭＳ 明朝" w:hAnsi="Gulim"/>
          <w:sz w:val="24"/>
          <w:szCs w:val="24"/>
        </w:rPr>
      </w:pPr>
      <w:r>
        <w:rPr>
          <w:rFonts w:ascii="Gulim" w:eastAsia="ＭＳ 明朝" w:hAnsi="Gulim" w:hint="eastAsia"/>
          <w:sz w:val="24"/>
          <w:szCs w:val="24"/>
        </w:rPr>
        <w:t>２．集中宣教支援地域の場合は堂会（責任役員会）にて決定する。</w:t>
      </w:r>
    </w:p>
    <w:p w:rsidR="00626AF9" w:rsidRDefault="00626AF9" w:rsidP="00B70D8D">
      <w:pPr>
        <w:spacing w:after="0" w:line="240" w:lineRule="auto"/>
        <w:rPr>
          <w:rFonts w:ascii="Gulim" w:eastAsia="ＭＳ 明朝" w:hAnsi="Gulim"/>
          <w:sz w:val="24"/>
          <w:szCs w:val="24"/>
        </w:rPr>
      </w:pPr>
    </w:p>
    <w:p w:rsidR="00626AF9" w:rsidRPr="00626AF9" w:rsidRDefault="00626AF9" w:rsidP="00B70D8D">
      <w:pPr>
        <w:spacing w:after="0" w:line="240" w:lineRule="auto"/>
        <w:rPr>
          <w:rFonts w:ascii="Gulim" w:eastAsia="ＭＳ 明朝" w:hAnsi="Gulim"/>
          <w:b/>
          <w:sz w:val="28"/>
          <w:szCs w:val="28"/>
        </w:rPr>
      </w:pPr>
      <w:r w:rsidRPr="00626AF9">
        <w:rPr>
          <w:rFonts w:ascii="Gulim" w:eastAsia="ＭＳ 明朝" w:hAnsi="Gulim" w:hint="eastAsia"/>
          <w:b/>
          <w:sz w:val="28"/>
          <w:szCs w:val="28"/>
        </w:rPr>
        <w:t>Ⅵ．宣教支援金の受け取り当事者</w:t>
      </w:r>
    </w:p>
    <w:p w:rsidR="00626AF9" w:rsidRDefault="00626AF9" w:rsidP="00B70D8D">
      <w:pPr>
        <w:spacing w:after="0" w:line="240" w:lineRule="auto"/>
        <w:rPr>
          <w:rFonts w:ascii="Gulim" w:eastAsia="ＭＳ 明朝" w:hAnsi="Gulim"/>
          <w:sz w:val="24"/>
          <w:szCs w:val="24"/>
        </w:rPr>
      </w:pPr>
      <w:r>
        <w:rPr>
          <w:rFonts w:ascii="Gulim" w:eastAsia="ＭＳ 明朝" w:hAnsi="Gulim" w:hint="eastAsia"/>
          <w:sz w:val="24"/>
          <w:szCs w:val="24"/>
        </w:rPr>
        <w:t>１．教会を担当する教役者またはその地域で宣教活動をする宣教師に支給する。</w:t>
      </w:r>
    </w:p>
    <w:p w:rsidR="00626AF9" w:rsidRDefault="00626AF9" w:rsidP="00B70D8D">
      <w:pPr>
        <w:spacing w:after="0" w:line="240" w:lineRule="auto"/>
        <w:rPr>
          <w:rFonts w:ascii="Gulim" w:eastAsia="ＭＳ 明朝" w:hAnsi="Gulim"/>
          <w:sz w:val="24"/>
          <w:szCs w:val="24"/>
        </w:rPr>
      </w:pPr>
      <w:r>
        <w:rPr>
          <w:rFonts w:ascii="Gulim" w:eastAsia="ＭＳ 明朝" w:hAnsi="Gulim" w:hint="eastAsia"/>
          <w:sz w:val="24"/>
          <w:szCs w:val="24"/>
        </w:rPr>
        <w:t>２．支給された当事者は担当教会及び宣教団体にその旨を報告して宣教支援金を使う。</w:t>
      </w:r>
    </w:p>
    <w:p w:rsidR="006D5CB6" w:rsidRDefault="00626AF9" w:rsidP="00B70D8D">
      <w:pPr>
        <w:spacing w:after="0" w:line="240" w:lineRule="auto"/>
        <w:rPr>
          <w:rFonts w:ascii="Gulim" w:eastAsia="ＭＳ 明朝" w:hAnsi="Gulim"/>
          <w:sz w:val="24"/>
          <w:szCs w:val="24"/>
        </w:rPr>
      </w:pPr>
      <w:r>
        <w:rPr>
          <w:rFonts w:ascii="Gulim" w:eastAsia="ＭＳ 明朝" w:hAnsi="Gulim" w:hint="eastAsia"/>
          <w:sz w:val="24"/>
          <w:szCs w:val="24"/>
        </w:rPr>
        <w:t>３．</w:t>
      </w:r>
      <w:r w:rsidR="006D5CB6">
        <w:rPr>
          <w:rFonts w:ascii="Gulim" w:eastAsia="ＭＳ 明朝" w:hAnsi="Gulim" w:hint="eastAsia"/>
          <w:sz w:val="24"/>
          <w:szCs w:val="24"/>
        </w:rPr>
        <w:t>もし受け取り当事者がその教会及び地域を離れた場合は宣教支援金が打ち切られ</w:t>
      </w:r>
    </w:p>
    <w:p w:rsidR="00626AF9" w:rsidRPr="00626AF9" w:rsidRDefault="006D5CB6" w:rsidP="006D5CB6">
      <w:pPr>
        <w:spacing w:after="0" w:line="240" w:lineRule="auto"/>
        <w:ind w:firstLineChars="200" w:firstLine="480"/>
        <w:rPr>
          <w:rFonts w:ascii="Gulim" w:eastAsia="ＭＳ 明朝" w:hAnsi="Gulim"/>
          <w:sz w:val="24"/>
          <w:szCs w:val="24"/>
        </w:rPr>
      </w:pPr>
      <w:r>
        <w:rPr>
          <w:rFonts w:ascii="Gulim" w:eastAsia="ＭＳ 明朝" w:hAnsi="Gulim" w:hint="eastAsia"/>
          <w:sz w:val="24"/>
          <w:szCs w:val="24"/>
        </w:rPr>
        <w:t>る。すなわち、教会または教役者（宣教師）のどちらにも宣教支援金を支給しない。</w:t>
      </w:r>
    </w:p>
    <w:p w:rsidR="00626AF9" w:rsidRDefault="006D5CB6" w:rsidP="006D5CB6">
      <w:pPr>
        <w:spacing w:after="0" w:line="240" w:lineRule="auto"/>
        <w:ind w:left="480" w:hangingChars="200" w:hanging="480"/>
        <w:rPr>
          <w:rFonts w:ascii="Gulim" w:eastAsia="ＭＳ 明朝" w:hAnsi="Gulim"/>
          <w:sz w:val="24"/>
          <w:szCs w:val="24"/>
        </w:rPr>
      </w:pPr>
      <w:r>
        <w:rPr>
          <w:rFonts w:ascii="Gulim" w:eastAsia="ＭＳ 明朝" w:hAnsi="Gulim" w:hint="eastAsia"/>
          <w:sz w:val="24"/>
          <w:szCs w:val="24"/>
        </w:rPr>
        <w:t>４．宣教地域を変更された場合、再度申請すれば再審議で承認を得た場合に限り支援ができる。</w:t>
      </w:r>
    </w:p>
    <w:p w:rsidR="006D5CB6" w:rsidRPr="006D5CB6" w:rsidRDefault="006D5CB6" w:rsidP="006D5CB6">
      <w:pPr>
        <w:spacing w:after="0" w:line="240" w:lineRule="auto"/>
        <w:ind w:left="480" w:hangingChars="200" w:hanging="480"/>
        <w:rPr>
          <w:rFonts w:ascii="Gulim" w:eastAsia="ＭＳ 明朝" w:hAnsi="Gulim"/>
          <w:sz w:val="24"/>
          <w:szCs w:val="24"/>
        </w:rPr>
      </w:pPr>
    </w:p>
    <w:p w:rsidR="00626AF9" w:rsidRPr="006D5CB6" w:rsidRDefault="006D5CB6" w:rsidP="00B70D8D">
      <w:pPr>
        <w:spacing w:after="0" w:line="240" w:lineRule="auto"/>
        <w:rPr>
          <w:rFonts w:ascii="Gulim" w:eastAsia="ＭＳ 明朝" w:hAnsi="Gulim"/>
          <w:b/>
          <w:sz w:val="28"/>
          <w:szCs w:val="28"/>
        </w:rPr>
      </w:pPr>
      <w:r w:rsidRPr="006D5CB6">
        <w:rPr>
          <w:rFonts w:ascii="Gulim" w:eastAsia="ＭＳ 明朝" w:hAnsi="Gulim" w:hint="eastAsia"/>
          <w:b/>
          <w:sz w:val="28"/>
          <w:szCs w:val="28"/>
        </w:rPr>
        <w:t>Ⅶ．宣教支援対象の選定の手続き</w:t>
      </w:r>
    </w:p>
    <w:p w:rsidR="006D5CB6" w:rsidRPr="006D5CB6" w:rsidRDefault="006D5CB6" w:rsidP="006D5CB6">
      <w:pPr>
        <w:spacing w:after="0" w:line="240" w:lineRule="auto"/>
        <w:ind w:left="480" w:hangingChars="200" w:hanging="480"/>
        <w:rPr>
          <w:rFonts w:ascii="Gulim" w:eastAsia="ＭＳ 明朝" w:hAnsi="Gulim"/>
          <w:sz w:val="24"/>
          <w:szCs w:val="24"/>
        </w:rPr>
      </w:pPr>
      <w:r>
        <w:rPr>
          <w:rFonts w:ascii="Gulim" w:eastAsia="ＭＳ 明朝" w:hAnsi="Gulim" w:hint="eastAsia"/>
          <w:sz w:val="24"/>
          <w:szCs w:val="24"/>
        </w:rPr>
        <w:t>１．宣教支援対象は堂会（責任役員会）にて最終選定する。必要に応じて公開募集を行うこともできる。</w:t>
      </w:r>
    </w:p>
    <w:p w:rsidR="00424237" w:rsidRDefault="006D5CB6" w:rsidP="006D5CB6">
      <w:pPr>
        <w:spacing w:after="0" w:line="240" w:lineRule="auto"/>
        <w:ind w:left="480" w:hangingChars="200" w:hanging="480"/>
        <w:rPr>
          <w:rFonts w:ascii="Gulim" w:eastAsia="ＭＳ 明朝" w:hAnsi="Gulim"/>
          <w:sz w:val="24"/>
          <w:szCs w:val="24"/>
        </w:rPr>
      </w:pPr>
      <w:r>
        <w:rPr>
          <w:rFonts w:ascii="Gulim" w:eastAsia="ＭＳ 明朝" w:hAnsi="Gulim" w:hint="eastAsia"/>
          <w:sz w:val="24"/>
          <w:szCs w:val="24"/>
        </w:rPr>
        <w:t>２．そのために宣教に関係する責任者および機関はお互いに緊密な連携を取りながら宣教対象の選定の仕事を進める。</w:t>
      </w:r>
    </w:p>
    <w:p w:rsidR="006D5CB6" w:rsidRDefault="006D5CB6" w:rsidP="00B70D8D">
      <w:pPr>
        <w:spacing w:after="0" w:line="240" w:lineRule="auto"/>
        <w:rPr>
          <w:rFonts w:ascii="Gulim" w:eastAsia="ＭＳ 明朝" w:hAnsi="Gulim"/>
          <w:sz w:val="24"/>
          <w:szCs w:val="24"/>
        </w:rPr>
      </w:pPr>
      <w:r>
        <w:rPr>
          <w:rFonts w:ascii="Gulim" w:eastAsia="ＭＳ 明朝" w:hAnsi="Gulim" w:hint="eastAsia"/>
          <w:sz w:val="24"/>
          <w:szCs w:val="24"/>
        </w:rPr>
        <w:t>３．すべての資料および選定におけるプロセス（過程）は文書として記録を残す。</w:t>
      </w:r>
    </w:p>
    <w:p w:rsidR="006D5CB6" w:rsidRDefault="006D5CB6" w:rsidP="00974E0B">
      <w:pPr>
        <w:spacing w:after="0" w:line="240" w:lineRule="auto"/>
        <w:ind w:left="480" w:hangingChars="200" w:hanging="480"/>
        <w:rPr>
          <w:rFonts w:ascii="Gulim" w:eastAsia="ＭＳ 明朝" w:hAnsi="Gulim"/>
          <w:sz w:val="24"/>
          <w:szCs w:val="24"/>
        </w:rPr>
      </w:pPr>
      <w:r>
        <w:rPr>
          <w:rFonts w:ascii="Gulim" w:eastAsia="ＭＳ 明朝" w:hAnsi="Gulim" w:hint="eastAsia"/>
          <w:sz w:val="24"/>
          <w:szCs w:val="24"/>
        </w:rPr>
        <w:t>４．関係者</w:t>
      </w:r>
      <w:r w:rsidR="00974E0B">
        <w:rPr>
          <w:rFonts w:ascii="Gulim" w:eastAsia="ＭＳ 明朝" w:hAnsi="Gulim" w:hint="eastAsia"/>
          <w:sz w:val="24"/>
          <w:szCs w:val="24"/>
        </w:rPr>
        <w:t>同士の情報共有および討議の場を設ける。ちなみに、不必要な誤解や混乱を防ぐために、堂会（責任役員会）の最終決定が発表されるまでは機密保持を徹底する。</w:t>
      </w:r>
    </w:p>
    <w:p w:rsidR="006D5CB6" w:rsidRDefault="006D5CB6" w:rsidP="00B70D8D">
      <w:pPr>
        <w:spacing w:after="0" w:line="240" w:lineRule="auto"/>
        <w:rPr>
          <w:rFonts w:ascii="Gulim" w:eastAsia="ＭＳ 明朝" w:hAnsi="Gulim"/>
          <w:sz w:val="24"/>
          <w:szCs w:val="24"/>
        </w:rPr>
      </w:pPr>
    </w:p>
    <w:p w:rsidR="00974E0B" w:rsidRPr="00974E0B" w:rsidRDefault="00974E0B" w:rsidP="00B70D8D">
      <w:pPr>
        <w:spacing w:after="0" w:line="240" w:lineRule="auto"/>
        <w:rPr>
          <w:rFonts w:ascii="Gulim" w:eastAsia="ＭＳ 明朝" w:hAnsi="Gulim"/>
          <w:b/>
          <w:sz w:val="28"/>
          <w:szCs w:val="28"/>
        </w:rPr>
      </w:pPr>
      <w:r w:rsidRPr="00974E0B">
        <w:rPr>
          <w:rFonts w:ascii="Gulim" w:eastAsia="ＭＳ 明朝" w:hAnsi="Gulim" w:hint="eastAsia"/>
          <w:b/>
          <w:sz w:val="28"/>
          <w:szCs w:val="28"/>
        </w:rPr>
        <w:t>Ⅷ．</w:t>
      </w:r>
      <w:r>
        <w:rPr>
          <w:rFonts w:ascii="Gulim" w:eastAsia="ＭＳ 明朝" w:hAnsi="Gulim" w:hint="eastAsia"/>
          <w:b/>
          <w:sz w:val="28"/>
          <w:szCs w:val="28"/>
        </w:rPr>
        <w:t>その他</w:t>
      </w:r>
    </w:p>
    <w:p w:rsidR="009F7D5E" w:rsidRDefault="00974E0B" w:rsidP="003A238B">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１．北韓（北朝鮮）宣教の規定が必要である。</w:t>
      </w:r>
    </w:p>
    <w:p w:rsidR="003A238B" w:rsidRPr="00764DDD" w:rsidRDefault="003A238B" w:rsidP="00B70D8D">
      <w:pPr>
        <w:spacing w:after="0" w:line="240" w:lineRule="auto"/>
        <w:rPr>
          <w:rFonts w:ascii="Gulim" w:eastAsia="Gulim" w:hAnsi="Gulim"/>
          <w:sz w:val="24"/>
          <w:szCs w:val="24"/>
        </w:rPr>
      </w:pPr>
    </w:p>
    <w:p w:rsidR="006A0B43" w:rsidRDefault="00974E0B" w:rsidP="00AB7E53">
      <w:pPr>
        <w:pStyle w:val="a8"/>
        <w:rPr>
          <w:rFonts w:hint="eastAsia"/>
        </w:rPr>
      </w:pPr>
      <w:r w:rsidRPr="00974E0B">
        <w:rPr>
          <w:rFonts w:hint="eastAsia"/>
        </w:rPr>
        <w:t>以上</w:t>
      </w:r>
    </w:p>
    <w:p w:rsidR="00AB7E53" w:rsidRDefault="00AB7E53" w:rsidP="00AB7E53">
      <w:pPr>
        <w:spacing w:after="0" w:line="240" w:lineRule="auto"/>
        <w:rPr>
          <w:rFonts w:ascii="Gulim" w:eastAsia="ＭＳ 明朝" w:hAnsi="Gulim" w:hint="eastAsia"/>
          <w:sz w:val="24"/>
          <w:szCs w:val="24"/>
        </w:rPr>
      </w:pPr>
    </w:p>
    <w:p w:rsidR="00AB7E53" w:rsidRDefault="00AB7E53" w:rsidP="00AB7E53">
      <w:pPr>
        <w:spacing w:after="0" w:line="240" w:lineRule="auto"/>
        <w:rPr>
          <w:rFonts w:ascii="Gulim" w:eastAsia="ＭＳ 明朝" w:hAnsi="Gulim" w:hint="eastAsia"/>
          <w:sz w:val="24"/>
          <w:szCs w:val="24"/>
        </w:rPr>
      </w:pPr>
      <w:r>
        <w:rPr>
          <w:rFonts w:ascii="Gulim" w:eastAsia="ＭＳ 明朝" w:hAnsi="Gulim" w:hint="eastAsia"/>
          <w:sz w:val="24"/>
          <w:szCs w:val="24"/>
        </w:rPr>
        <w:t>※</w:t>
      </w:r>
      <w:r>
        <w:rPr>
          <w:rFonts w:ascii="Gulim" w:eastAsia="ＭＳ 明朝" w:hAnsi="Gulim" w:hint="eastAsia"/>
          <w:sz w:val="24"/>
          <w:szCs w:val="24"/>
        </w:rPr>
        <w:t>2017</w:t>
      </w:r>
      <w:r>
        <w:rPr>
          <w:rFonts w:ascii="Gulim" w:eastAsia="ＭＳ 明朝" w:hAnsi="Gulim" w:hint="eastAsia"/>
          <w:sz w:val="24"/>
          <w:szCs w:val="24"/>
        </w:rPr>
        <w:t>年</w:t>
      </w:r>
      <w:r>
        <w:rPr>
          <w:rFonts w:ascii="Gulim" w:eastAsia="ＭＳ 明朝" w:hAnsi="Gulim" w:hint="eastAsia"/>
          <w:sz w:val="24"/>
          <w:szCs w:val="24"/>
        </w:rPr>
        <w:t>5</w:t>
      </w:r>
      <w:r>
        <w:rPr>
          <w:rFonts w:ascii="Gulim" w:eastAsia="ＭＳ 明朝" w:hAnsi="Gulim" w:hint="eastAsia"/>
          <w:sz w:val="24"/>
          <w:szCs w:val="24"/>
        </w:rPr>
        <w:t>月の責任役員会にて承認。</w:t>
      </w:r>
    </w:p>
    <w:p w:rsidR="00AB7E53" w:rsidRPr="00AB7E53" w:rsidRDefault="00AB7E53" w:rsidP="00AB7E53">
      <w:pPr>
        <w:spacing w:after="0" w:line="240" w:lineRule="auto"/>
        <w:rPr>
          <w:rFonts w:ascii="Gulim" w:eastAsia="ＭＳ 明朝" w:hAnsi="Gulim" w:hint="eastAsia"/>
          <w:sz w:val="24"/>
          <w:szCs w:val="24"/>
        </w:rPr>
      </w:pPr>
    </w:p>
    <w:p w:rsidR="00AB7E53" w:rsidRPr="00AB7E53" w:rsidRDefault="00AB7E53" w:rsidP="00AB7E53">
      <w:pPr>
        <w:spacing w:after="0" w:line="240" w:lineRule="auto"/>
        <w:rPr>
          <w:rFonts w:ascii="Gulim" w:eastAsia="ＭＳ 明朝" w:hAnsi="Gulim" w:hint="eastAsia"/>
          <w:sz w:val="24"/>
          <w:szCs w:val="24"/>
        </w:rPr>
      </w:pPr>
    </w:p>
    <w:sectPr w:rsidR="00AB7E53" w:rsidRPr="00AB7E53" w:rsidSect="005743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11" w:rsidRDefault="00A63F11" w:rsidP="00FA6AE3">
      <w:pPr>
        <w:spacing w:after="0" w:line="240" w:lineRule="auto"/>
      </w:pPr>
      <w:r>
        <w:separator/>
      </w:r>
    </w:p>
  </w:endnote>
  <w:endnote w:type="continuationSeparator" w:id="0">
    <w:p w:rsidR="00A63F11" w:rsidRDefault="00A63F11" w:rsidP="00FA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00860"/>
      <w:docPartObj>
        <w:docPartGallery w:val="Page Numbers (Bottom of Page)"/>
        <w:docPartUnique/>
      </w:docPartObj>
    </w:sdtPr>
    <w:sdtEndPr/>
    <w:sdtContent>
      <w:p w:rsidR="006D5CB6" w:rsidRDefault="006D5CB6">
        <w:pPr>
          <w:pStyle w:val="a6"/>
          <w:jc w:val="center"/>
        </w:pPr>
        <w:r>
          <w:fldChar w:fldCharType="begin"/>
        </w:r>
        <w:r>
          <w:instrText xml:space="preserve"> PAGE   \* MERGEFORMAT </w:instrText>
        </w:r>
        <w:r>
          <w:fldChar w:fldCharType="separate"/>
        </w:r>
        <w:r w:rsidR="00553A75">
          <w:rPr>
            <w:noProof/>
          </w:rPr>
          <w:t>1</w:t>
        </w:r>
        <w:r>
          <w:fldChar w:fldCharType="end"/>
        </w:r>
      </w:p>
    </w:sdtContent>
  </w:sdt>
  <w:p w:rsidR="006D5CB6" w:rsidRDefault="006D5C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11" w:rsidRDefault="00A63F11" w:rsidP="00FA6AE3">
      <w:pPr>
        <w:spacing w:after="0" w:line="240" w:lineRule="auto"/>
      </w:pPr>
      <w:r>
        <w:separator/>
      </w:r>
    </w:p>
  </w:footnote>
  <w:footnote w:type="continuationSeparator" w:id="0">
    <w:p w:rsidR="00A63F11" w:rsidRDefault="00A63F11" w:rsidP="00FA6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B86"/>
    <w:multiLevelType w:val="hybridMultilevel"/>
    <w:tmpl w:val="37DAF24E"/>
    <w:lvl w:ilvl="0" w:tplc="14601B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6881925"/>
    <w:multiLevelType w:val="hybridMultilevel"/>
    <w:tmpl w:val="3EAA7DF6"/>
    <w:lvl w:ilvl="0" w:tplc="C88AED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EAB2A87"/>
    <w:multiLevelType w:val="hybridMultilevel"/>
    <w:tmpl w:val="09D2136C"/>
    <w:lvl w:ilvl="0" w:tplc="8C68F88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1F5B1943"/>
    <w:multiLevelType w:val="hybridMultilevel"/>
    <w:tmpl w:val="6E82CC3C"/>
    <w:lvl w:ilvl="0" w:tplc="10D890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3330AD6"/>
    <w:multiLevelType w:val="hybridMultilevel"/>
    <w:tmpl w:val="5DD4EC8E"/>
    <w:lvl w:ilvl="0" w:tplc="518858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48E2144"/>
    <w:multiLevelType w:val="hybridMultilevel"/>
    <w:tmpl w:val="00DE9BA4"/>
    <w:lvl w:ilvl="0" w:tplc="2FEC00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28E64C13"/>
    <w:multiLevelType w:val="hybridMultilevel"/>
    <w:tmpl w:val="2638B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24984"/>
    <w:multiLevelType w:val="hybridMultilevel"/>
    <w:tmpl w:val="00528BFC"/>
    <w:lvl w:ilvl="0" w:tplc="1CDA2FC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38875F76"/>
    <w:multiLevelType w:val="hybridMultilevel"/>
    <w:tmpl w:val="26E8F516"/>
    <w:lvl w:ilvl="0" w:tplc="4B2AEB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3FBF48EF"/>
    <w:multiLevelType w:val="hybridMultilevel"/>
    <w:tmpl w:val="47ACF184"/>
    <w:lvl w:ilvl="0" w:tplc="BB620D8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437054BB"/>
    <w:multiLevelType w:val="hybridMultilevel"/>
    <w:tmpl w:val="BAAE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9650C"/>
    <w:multiLevelType w:val="hybridMultilevel"/>
    <w:tmpl w:val="9F3089E4"/>
    <w:lvl w:ilvl="0" w:tplc="D3D420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A1E72F2"/>
    <w:multiLevelType w:val="hybridMultilevel"/>
    <w:tmpl w:val="0518D61C"/>
    <w:lvl w:ilvl="0" w:tplc="A53C6D08">
      <w:start w:val="1"/>
      <w:numFmt w:val="decimalFullWidth"/>
      <w:lvlText w:val="%1．"/>
      <w:lvlJc w:val="left"/>
      <w:pPr>
        <w:ind w:left="480" w:hanging="480"/>
      </w:pPr>
      <w:rPr>
        <w:rFonts w:hint="default"/>
        <w:b/>
      </w:rPr>
    </w:lvl>
    <w:lvl w:ilvl="1" w:tplc="11CAD68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7561B7"/>
    <w:multiLevelType w:val="hybridMultilevel"/>
    <w:tmpl w:val="9E046992"/>
    <w:lvl w:ilvl="0" w:tplc="89309B1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715D4B2F"/>
    <w:multiLevelType w:val="hybridMultilevel"/>
    <w:tmpl w:val="737E4910"/>
    <w:lvl w:ilvl="0" w:tplc="50D213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ABF3ADD"/>
    <w:multiLevelType w:val="hybridMultilevel"/>
    <w:tmpl w:val="97AE52BA"/>
    <w:lvl w:ilvl="0" w:tplc="951CD8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6"/>
  </w:num>
  <w:num w:numId="3">
    <w:abstractNumId w:val="0"/>
  </w:num>
  <w:num w:numId="4">
    <w:abstractNumId w:val="1"/>
  </w:num>
  <w:num w:numId="5">
    <w:abstractNumId w:val="4"/>
  </w:num>
  <w:num w:numId="6">
    <w:abstractNumId w:val="11"/>
  </w:num>
  <w:num w:numId="7">
    <w:abstractNumId w:val="14"/>
  </w:num>
  <w:num w:numId="8">
    <w:abstractNumId w:val="15"/>
  </w:num>
  <w:num w:numId="9">
    <w:abstractNumId w:val="9"/>
  </w:num>
  <w:num w:numId="10">
    <w:abstractNumId w:val="2"/>
  </w:num>
  <w:num w:numId="11">
    <w:abstractNumId w:val="13"/>
  </w:num>
  <w:num w:numId="12">
    <w:abstractNumId w:val="3"/>
  </w:num>
  <w:num w:numId="13">
    <w:abstractNumId w:val="12"/>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8D"/>
    <w:rsid w:val="00137584"/>
    <w:rsid w:val="001A7B74"/>
    <w:rsid w:val="001E03EB"/>
    <w:rsid w:val="00243063"/>
    <w:rsid w:val="002D63D8"/>
    <w:rsid w:val="003A238B"/>
    <w:rsid w:val="003B1126"/>
    <w:rsid w:val="003B5C41"/>
    <w:rsid w:val="0040631A"/>
    <w:rsid w:val="00424237"/>
    <w:rsid w:val="00553A75"/>
    <w:rsid w:val="00574374"/>
    <w:rsid w:val="005A3D9B"/>
    <w:rsid w:val="005C2D45"/>
    <w:rsid w:val="00626AF9"/>
    <w:rsid w:val="006640C2"/>
    <w:rsid w:val="00695D42"/>
    <w:rsid w:val="006A0B43"/>
    <w:rsid w:val="006D5CB6"/>
    <w:rsid w:val="00737791"/>
    <w:rsid w:val="00745259"/>
    <w:rsid w:val="00764DDD"/>
    <w:rsid w:val="00770B1E"/>
    <w:rsid w:val="0081482C"/>
    <w:rsid w:val="008405BC"/>
    <w:rsid w:val="008D77ED"/>
    <w:rsid w:val="009472B0"/>
    <w:rsid w:val="00974E0B"/>
    <w:rsid w:val="009F7D5E"/>
    <w:rsid w:val="00A63F11"/>
    <w:rsid w:val="00AB7E53"/>
    <w:rsid w:val="00AD272B"/>
    <w:rsid w:val="00B1764F"/>
    <w:rsid w:val="00B70D8D"/>
    <w:rsid w:val="00C01F5D"/>
    <w:rsid w:val="00C521EA"/>
    <w:rsid w:val="00C552CF"/>
    <w:rsid w:val="00C84F31"/>
    <w:rsid w:val="00C8701F"/>
    <w:rsid w:val="00E13452"/>
    <w:rsid w:val="00FA6AE3"/>
    <w:rsid w:val="00FF36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01F"/>
    <w:pPr>
      <w:ind w:left="720"/>
      <w:contextualSpacing/>
    </w:pPr>
  </w:style>
  <w:style w:type="paragraph" w:styleId="a4">
    <w:name w:val="header"/>
    <w:basedOn w:val="a"/>
    <w:link w:val="a5"/>
    <w:uiPriority w:val="99"/>
    <w:semiHidden/>
    <w:unhideWhenUsed/>
    <w:rsid w:val="00FA6AE3"/>
    <w:pPr>
      <w:tabs>
        <w:tab w:val="center" w:pos="4680"/>
        <w:tab w:val="right" w:pos="9360"/>
      </w:tabs>
      <w:spacing w:after="0" w:line="240" w:lineRule="auto"/>
    </w:pPr>
  </w:style>
  <w:style w:type="character" w:customStyle="1" w:styleId="a5">
    <w:name w:val="ヘッダー (文字)"/>
    <w:basedOn w:val="a0"/>
    <w:link w:val="a4"/>
    <w:uiPriority w:val="99"/>
    <w:semiHidden/>
    <w:rsid w:val="00FA6AE3"/>
  </w:style>
  <w:style w:type="paragraph" w:styleId="a6">
    <w:name w:val="footer"/>
    <w:basedOn w:val="a"/>
    <w:link w:val="a7"/>
    <w:uiPriority w:val="99"/>
    <w:unhideWhenUsed/>
    <w:rsid w:val="00FA6AE3"/>
    <w:pPr>
      <w:tabs>
        <w:tab w:val="center" w:pos="4680"/>
        <w:tab w:val="right" w:pos="9360"/>
      </w:tabs>
      <w:spacing w:after="0" w:line="240" w:lineRule="auto"/>
    </w:pPr>
  </w:style>
  <w:style w:type="character" w:customStyle="1" w:styleId="a7">
    <w:name w:val="フッター (文字)"/>
    <w:basedOn w:val="a0"/>
    <w:link w:val="a6"/>
    <w:uiPriority w:val="99"/>
    <w:rsid w:val="00FA6AE3"/>
  </w:style>
  <w:style w:type="paragraph" w:styleId="a8">
    <w:name w:val="Closing"/>
    <w:basedOn w:val="a"/>
    <w:link w:val="a9"/>
    <w:uiPriority w:val="99"/>
    <w:unhideWhenUsed/>
    <w:rsid w:val="00AB7E53"/>
    <w:pPr>
      <w:jc w:val="right"/>
    </w:pPr>
    <w:rPr>
      <w:rFonts w:ascii="ＭＳ 明朝" w:eastAsia="ＭＳ 明朝" w:hAnsi="ＭＳ 明朝"/>
      <w:sz w:val="24"/>
      <w:szCs w:val="24"/>
    </w:rPr>
  </w:style>
  <w:style w:type="character" w:customStyle="1" w:styleId="a9">
    <w:name w:val="結語 (文字)"/>
    <w:basedOn w:val="a0"/>
    <w:link w:val="a8"/>
    <w:uiPriority w:val="99"/>
    <w:rsid w:val="00AB7E53"/>
    <w:rPr>
      <w:rFonts w:ascii="ＭＳ 明朝" w:eastAsia="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01F"/>
    <w:pPr>
      <w:ind w:left="720"/>
      <w:contextualSpacing/>
    </w:pPr>
  </w:style>
  <w:style w:type="paragraph" w:styleId="a4">
    <w:name w:val="header"/>
    <w:basedOn w:val="a"/>
    <w:link w:val="a5"/>
    <w:uiPriority w:val="99"/>
    <w:semiHidden/>
    <w:unhideWhenUsed/>
    <w:rsid w:val="00FA6AE3"/>
    <w:pPr>
      <w:tabs>
        <w:tab w:val="center" w:pos="4680"/>
        <w:tab w:val="right" w:pos="9360"/>
      </w:tabs>
      <w:spacing w:after="0" w:line="240" w:lineRule="auto"/>
    </w:pPr>
  </w:style>
  <w:style w:type="character" w:customStyle="1" w:styleId="a5">
    <w:name w:val="ヘッダー (文字)"/>
    <w:basedOn w:val="a0"/>
    <w:link w:val="a4"/>
    <w:uiPriority w:val="99"/>
    <w:semiHidden/>
    <w:rsid w:val="00FA6AE3"/>
  </w:style>
  <w:style w:type="paragraph" w:styleId="a6">
    <w:name w:val="footer"/>
    <w:basedOn w:val="a"/>
    <w:link w:val="a7"/>
    <w:uiPriority w:val="99"/>
    <w:unhideWhenUsed/>
    <w:rsid w:val="00FA6AE3"/>
    <w:pPr>
      <w:tabs>
        <w:tab w:val="center" w:pos="4680"/>
        <w:tab w:val="right" w:pos="9360"/>
      </w:tabs>
      <w:spacing w:after="0" w:line="240" w:lineRule="auto"/>
    </w:pPr>
  </w:style>
  <w:style w:type="character" w:customStyle="1" w:styleId="a7">
    <w:name w:val="フッター (文字)"/>
    <w:basedOn w:val="a0"/>
    <w:link w:val="a6"/>
    <w:uiPriority w:val="99"/>
    <w:rsid w:val="00FA6AE3"/>
  </w:style>
  <w:style w:type="paragraph" w:styleId="a8">
    <w:name w:val="Closing"/>
    <w:basedOn w:val="a"/>
    <w:link w:val="a9"/>
    <w:uiPriority w:val="99"/>
    <w:unhideWhenUsed/>
    <w:rsid w:val="00AB7E53"/>
    <w:pPr>
      <w:jc w:val="right"/>
    </w:pPr>
    <w:rPr>
      <w:rFonts w:ascii="ＭＳ 明朝" w:eastAsia="ＭＳ 明朝" w:hAnsi="ＭＳ 明朝"/>
      <w:sz w:val="24"/>
      <w:szCs w:val="24"/>
    </w:rPr>
  </w:style>
  <w:style w:type="character" w:customStyle="1" w:styleId="a9">
    <w:name w:val="結語 (文字)"/>
    <w:basedOn w:val="a0"/>
    <w:link w:val="a8"/>
    <w:uiPriority w:val="99"/>
    <w:rsid w:val="00AB7E5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JEC00555</cp:lastModifiedBy>
  <cp:revision>2</cp:revision>
  <dcterms:created xsi:type="dcterms:W3CDTF">2017-06-14T07:57:00Z</dcterms:created>
  <dcterms:modified xsi:type="dcterms:W3CDTF">2017-06-14T07:57:00Z</dcterms:modified>
</cp:coreProperties>
</file>